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CC59" w14:textId="77777777" w:rsidR="00AB3678" w:rsidRPr="00AB3678" w:rsidRDefault="00AB3678" w:rsidP="00AB3678">
      <w:pPr>
        <w:spacing w:line="260" w:lineRule="exact"/>
        <w:rPr>
          <w:rFonts w:ascii="Verdana" w:hAnsi="Verdana"/>
          <w:b/>
          <w:bCs/>
          <w:sz w:val="20"/>
          <w:szCs w:val="20"/>
        </w:rPr>
      </w:pPr>
      <w:r w:rsidRPr="00AB3678">
        <w:rPr>
          <w:rFonts w:ascii="Verdana" w:hAnsi="Verdana"/>
          <w:b/>
          <w:bCs/>
          <w:sz w:val="20"/>
          <w:szCs w:val="20"/>
        </w:rPr>
        <w:t>Veranderingen in afdracht aan SGRZ vanaf 2024</w:t>
      </w:r>
    </w:p>
    <w:p w14:paraId="5E35241F" w14:textId="77777777" w:rsidR="00AB3678" w:rsidRPr="00AB3678" w:rsidRDefault="00AB3678" w:rsidP="00AB3678">
      <w:pPr>
        <w:spacing w:line="260" w:lineRule="exact"/>
        <w:rPr>
          <w:rFonts w:ascii="Verdana" w:hAnsi="Verdana"/>
          <w:i/>
          <w:iCs/>
          <w:sz w:val="20"/>
          <w:szCs w:val="20"/>
        </w:rPr>
      </w:pPr>
      <w:r w:rsidRPr="00AB3678">
        <w:rPr>
          <w:rFonts w:ascii="Verdana" w:hAnsi="Verdana"/>
          <w:i/>
          <w:iCs/>
          <w:sz w:val="20"/>
          <w:szCs w:val="20"/>
        </w:rPr>
        <w:t>Datum: 14 november 2023</w:t>
      </w:r>
    </w:p>
    <w:p w14:paraId="19EEEE79" w14:textId="77777777" w:rsidR="00AB3678" w:rsidRDefault="00AB3678" w:rsidP="00AB3678">
      <w:pPr>
        <w:spacing w:line="260" w:lineRule="exact"/>
        <w:rPr>
          <w:rFonts w:ascii="Verdana" w:hAnsi="Verdana"/>
          <w:sz w:val="20"/>
          <w:szCs w:val="20"/>
        </w:rPr>
      </w:pPr>
    </w:p>
    <w:p w14:paraId="7D8DC260" w14:textId="37B79C2B" w:rsidR="00AB3678" w:rsidRPr="00AB3678" w:rsidRDefault="00AB3678" w:rsidP="00AB3678">
      <w:pPr>
        <w:spacing w:line="260" w:lineRule="exact"/>
        <w:rPr>
          <w:rFonts w:ascii="Verdana" w:hAnsi="Verdana"/>
          <w:sz w:val="20"/>
          <w:szCs w:val="20"/>
        </w:rPr>
      </w:pPr>
      <w:r w:rsidRPr="00AB3678">
        <w:rPr>
          <w:rFonts w:ascii="Verdana" w:hAnsi="Verdana"/>
          <w:sz w:val="20"/>
          <w:szCs w:val="20"/>
        </w:rPr>
        <w:t>Beste relatie,</w:t>
      </w:r>
    </w:p>
    <w:p w14:paraId="4266CB05" w14:textId="77777777" w:rsidR="00AB3678" w:rsidRPr="00AB3678" w:rsidRDefault="00AB3678" w:rsidP="00AB3678">
      <w:pPr>
        <w:spacing w:after="0" w:line="260" w:lineRule="exact"/>
        <w:rPr>
          <w:rFonts w:ascii="Verdana" w:hAnsi="Verdana"/>
          <w:sz w:val="20"/>
          <w:szCs w:val="20"/>
        </w:rPr>
      </w:pPr>
      <w:r w:rsidRPr="00AB3678">
        <w:rPr>
          <w:rFonts w:ascii="Verdana" w:hAnsi="Verdana"/>
          <w:sz w:val="20"/>
          <w:szCs w:val="20"/>
        </w:rPr>
        <w:t xml:space="preserve">SGRZ, het zakelijke zusje van SGR, biedt sinds de wetswijziging in 1 juli 2018 van de Wet op de Reisovereenkomst garantie voor insolventie van aanbieders van groeps- en incentivereizen (MICE), schoolreizen en zakelijke reizen. De opdrachtgevers van deze reizen zijn bedrijven, scholen en verenigingen. Deze garantieregeling is er voor zowel de organisator als voor de verkoper/bemiddelaar van reizen. Daarnaast biedt SGRZ een </w:t>
      </w:r>
      <w:proofErr w:type="spellStart"/>
      <w:r w:rsidRPr="00AB3678">
        <w:rPr>
          <w:rFonts w:ascii="Verdana" w:hAnsi="Verdana"/>
          <w:sz w:val="20"/>
          <w:szCs w:val="20"/>
        </w:rPr>
        <w:t>retaildekking</w:t>
      </w:r>
      <w:proofErr w:type="spellEnd"/>
      <w:r w:rsidRPr="00AB3678">
        <w:rPr>
          <w:rFonts w:ascii="Verdana" w:hAnsi="Verdana"/>
          <w:sz w:val="20"/>
          <w:szCs w:val="20"/>
        </w:rPr>
        <w:t xml:space="preserve"> aan ten behoeve van een retailer. Deze garantieregeling dekt het risico van niet-levering bij insolventie van de achterliggende touroperator af voor een retailer die reisdiensten verkoopt van een SGR-deelnemer met SGRZ </w:t>
      </w:r>
      <w:proofErr w:type="spellStart"/>
      <w:r w:rsidRPr="00AB3678">
        <w:rPr>
          <w:rFonts w:ascii="Verdana" w:hAnsi="Verdana"/>
          <w:sz w:val="20"/>
          <w:szCs w:val="20"/>
        </w:rPr>
        <w:t>retaildekking</w:t>
      </w:r>
      <w:proofErr w:type="spellEnd"/>
      <w:r w:rsidRPr="00AB3678">
        <w:rPr>
          <w:rFonts w:ascii="Verdana" w:hAnsi="Verdana"/>
          <w:sz w:val="20"/>
          <w:szCs w:val="20"/>
        </w:rPr>
        <w:t xml:space="preserve">. </w:t>
      </w:r>
    </w:p>
    <w:p w14:paraId="7C875940" w14:textId="77777777" w:rsidR="00AB3678" w:rsidRPr="00AB3678" w:rsidRDefault="00AB3678" w:rsidP="00AB3678">
      <w:pPr>
        <w:spacing w:line="260" w:lineRule="exact"/>
        <w:rPr>
          <w:rFonts w:ascii="Verdana" w:hAnsi="Verdana"/>
          <w:sz w:val="20"/>
          <w:szCs w:val="20"/>
        </w:rPr>
      </w:pPr>
    </w:p>
    <w:tbl>
      <w:tblPr>
        <w:tblW w:w="0" w:type="auto"/>
        <w:tblCellMar>
          <w:left w:w="0" w:type="dxa"/>
          <w:right w:w="0" w:type="dxa"/>
        </w:tblCellMar>
        <w:tblLook w:val="04A0" w:firstRow="1" w:lastRow="0" w:firstColumn="1" w:lastColumn="0" w:noHBand="0" w:noVBand="1"/>
      </w:tblPr>
      <w:tblGrid>
        <w:gridCol w:w="3750"/>
        <w:gridCol w:w="2141"/>
        <w:gridCol w:w="3161"/>
      </w:tblGrid>
      <w:tr w:rsidR="00AB3678" w:rsidRPr="00AB3678" w14:paraId="7A15B674" w14:textId="77777777" w:rsidTr="00AB3678">
        <w:trPr>
          <w:trHeight w:val="307"/>
        </w:trPr>
        <w:tc>
          <w:tcPr>
            <w:tcW w:w="5689" w:type="dxa"/>
            <w:tcBorders>
              <w:top w:val="single" w:sz="8" w:space="0" w:color="auto"/>
              <w:left w:val="single" w:sz="8" w:space="0" w:color="auto"/>
              <w:bottom w:val="single" w:sz="8" w:space="0" w:color="auto"/>
              <w:right w:val="single" w:sz="8" w:space="0" w:color="auto"/>
            </w:tcBorders>
            <w:shd w:val="clear" w:color="auto" w:fill="3333CC"/>
            <w:tcMar>
              <w:top w:w="0" w:type="dxa"/>
              <w:left w:w="108" w:type="dxa"/>
              <w:bottom w:w="0" w:type="dxa"/>
              <w:right w:w="108" w:type="dxa"/>
            </w:tcMar>
            <w:hideMark/>
          </w:tcPr>
          <w:p w14:paraId="6F77F5AA" w14:textId="77777777" w:rsidR="00AB3678" w:rsidRPr="00AB3678" w:rsidRDefault="00AB3678">
            <w:pPr>
              <w:spacing w:after="0" w:line="240" w:lineRule="auto"/>
              <w:rPr>
                <w:rFonts w:ascii="Verdana" w:hAnsi="Verdana"/>
                <w:sz w:val="20"/>
                <w:szCs w:val="20"/>
              </w:rPr>
            </w:pPr>
            <w:r w:rsidRPr="00AB3678">
              <w:rPr>
                <w:rFonts w:ascii="Verdana" w:hAnsi="Verdana"/>
                <w:b/>
                <w:bCs/>
                <w:color w:val="FFFFFF"/>
                <w:sz w:val="20"/>
                <w:szCs w:val="20"/>
              </w:rPr>
              <w:t>Type garantie</w:t>
            </w:r>
          </w:p>
        </w:tc>
        <w:tc>
          <w:tcPr>
            <w:tcW w:w="3148" w:type="dxa"/>
            <w:tcBorders>
              <w:top w:val="single" w:sz="8" w:space="0" w:color="auto"/>
              <w:left w:val="nil"/>
              <w:bottom w:val="single" w:sz="8" w:space="0" w:color="auto"/>
              <w:right w:val="single" w:sz="8" w:space="0" w:color="auto"/>
            </w:tcBorders>
            <w:shd w:val="clear" w:color="auto" w:fill="3333CC"/>
            <w:tcMar>
              <w:top w:w="0" w:type="dxa"/>
              <w:left w:w="108" w:type="dxa"/>
              <w:bottom w:w="0" w:type="dxa"/>
              <w:right w:w="108" w:type="dxa"/>
            </w:tcMar>
            <w:hideMark/>
          </w:tcPr>
          <w:p w14:paraId="6818800E" w14:textId="77777777" w:rsidR="00AB3678" w:rsidRPr="00AB3678" w:rsidRDefault="00AB3678">
            <w:pPr>
              <w:spacing w:after="0" w:line="240" w:lineRule="auto"/>
              <w:rPr>
                <w:rFonts w:ascii="Verdana" w:hAnsi="Verdana"/>
                <w:sz w:val="20"/>
                <w:szCs w:val="20"/>
              </w:rPr>
            </w:pPr>
            <w:r w:rsidRPr="00AB3678">
              <w:rPr>
                <w:rFonts w:ascii="Verdana" w:hAnsi="Verdana"/>
                <w:b/>
                <w:bCs/>
                <w:color w:val="FFFFFF"/>
                <w:sz w:val="20"/>
                <w:szCs w:val="20"/>
              </w:rPr>
              <w:t>Tarief</w:t>
            </w:r>
          </w:p>
        </w:tc>
        <w:tc>
          <w:tcPr>
            <w:tcW w:w="4467" w:type="dxa"/>
            <w:tcBorders>
              <w:top w:val="single" w:sz="8" w:space="0" w:color="auto"/>
              <w:left w:val="nil"/>
              <w:bottom w:val="single" w:sz="8" w:space="0" w:color="auto"/>
              <w:right w:val="single" w:sz="8" w:space="0" w:color="auto"/>
            </w:tcBorders>
            <w:shd w:val="clear" w:color="auto" w:fill="3333CC"/>
            <w:tcMar>
              <w:top w:w="0" w:type="dxa"/>
              <w:left w:w="108" w:type="dxa"/>
              <w:bottom w:w="0" w:type="dxa"/>
              <w:right w:w="108" w:type="dxa"/>
            </w:tcMar>
            <w:hideMark/>
          </w:tcPr>
          <w:p w14:paraId="0EF57853" w14:textId="77777777" w:rsidR="00AB3678" w:rsidRPr="00AB3678" w:rsidRDefault="00AB3678">
            <w:pPr>
              <w:spacing w:after="0" w:line="240" w:lineRule="auto"/>
              <w:rPr>
                <w:rFonts w:ascii="Verdana" w:hAnsi="Verdana"/>
                <w:sz w:val="20"/>
                <w:szCs w:val="20"/>
              </w:rPr>
            </w:pPr>
            <w:r w:rsidRPr="00AB3678">
              <w:rPr>
                <w:rFonts w:ascii="Verdana" w:hAnsi="Verdana"/>
                <w:b/>
                <w:bCs/>
                <w:color w:val="FFFFFF"/>
                <w:sz w:val="20"/>
                <w:szCs w:val="20"/>
              </w:rPr>
              <w:t>Af te dragen door</w:t>
            </w:r>
          </w:p>
        </w:tc>
      </w:tr>
      <w:tr w:rsidR="00AB3678" w:rsidRPr="00AB3678" w14:paraId="0C1CA193" w14:textId="77777777" w:rsidTr="00AB3678">
        <w:trPr>
          <w:trHeight w:val="354"/>
        </w:trPr>
        <w:tc>
          <w:tcPr>
            <w:tcW w:w="5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58A16"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SGRZ Garantie t/m 10 personen per boeking</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258F30E8"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€ 5,00 per persoon</w:t>
            </w:r>
          </w:p>
        </w:tc>
        <w:tc>
          <w:tcPr>
            <w:tcW w:w="4467" w:type="dxa"/>
            <w:tcBorders>
              <w:top w:val="nil"/>
              <w:left w:val="nil"/>
              <w:bottom w:val="single" w:sz="8" w:space="0" w:color="auto"/>
              <w:right w:val="single" w:sz="8" w:space="0" w:color="auto"/>
            </w:tcBorders>
            <w:tcMar>
              <w:top w:w="0" w:type="dxa"/>
              <w:left w:w="108" w:type="dxa"/>
              <w:bottom w:w="0" w:type="dxa"/>
              <w:right w:w="108" w:type="dxa"/>
            </w:tcMar>
            <w:hideMark/>
          </w:tcPr>
          <w:p w14:paraId="0153EFA1"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Opdrachtgever via deelnemer</w:t>
            </w:r>
          </w:p>
        </w:tc>
      </w:tr>
      <w:tr w:rsidR="00AB3678" w:rsidRPr="00AB3678" w14:paraId="4F435AEF" w14:textId="77777777" w:rsidTr="00AB3678">
        <w:trPr>
          <w:trHeight w:val="354"/>
        </w:trPr>
        <w:tc>
          <w:tcPr>
            <w:tcW w:w="5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F2CB7"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SGRZ Garantie meer dan 10 personen per boeking</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6113432E"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€ 50,00 per boeking</w:t>
            </w:r>
          </w:p>
        </w:tc>
        <w:tc>
          <w:tcPr>
            <w:tcW w:w="4467" w:type="dxa"/>
            <w:tcBorders>
              <w:top w:val="nil"/>
              <w:left w:val="nil"/>
              <w:bottom w:val="single" w:sz="8" w:space="0" w:color="auto"/>
              <w:right w:val="single" w:sz="8" w:space="0" w:color="auto"/>
            </w:tcBorders>
            <w:tcMar>
              <w:top w:w="0" w:type="dxa"/>
              <w:left w:w="108" w:type="dxa"/>
              <w:bottom w:w="0" w:type="dxa"/>
              <w:right w:w="108" w:type="dxa"/>
            </w:tcMar>
            <w:hideMark/>
          </w:tcPr>
          <w:p w14:paraId="3B052403"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Opdrachtgever via deelnemer</w:t>
            </w:r>
          </w:p>
        </w:tc>
      </w:tr>
      <w:tr w:rsidR="00AB3678" w:rsidRPr="00AB3678" w14:paraId="44D2E57C" w14:textId="77777777" w:rsidTr="00AB3678">
        <w:trPr>
          <w:trHeight w:val="354"/>
        </w:trPr>
        <w:tc>
          <w:tcPr>
            <w:tcW w:w="5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4667A"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Retaildekking</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51DC467D"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€ 1,25 per boeking</w:t>
            </w:r>
          </w:p>
        </w:tc>
        <w:tc>
          <w:tcPr>
            <w:tcW w:w="4467" w:type="dxa"/>
            <w:tcBorders>
              <w:top w:val="nil"/>
              <w:left w:val="nil"/>
              <w:bottom w:val="single" w:sz="8" w:space="0" w:color="auto"/>
              <w:right w:val="single" w:sz="8" w:space="0" w:color="auto"/>
            </w:tcBorders>
            <w:tcMar>
              <w:top w:w="0" w:type="dxa"/>
              <w:left w:w="108" w:type="dxa"/>
              <w:bottom w:w="0" w:type="dxa"/>
              <w:right w:w="108" w:type="dxa"/>
            </w:tcMar>
            <w:hideMark/>
          </w:tcPr>
          <w:p w14:paraId="0A890008"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Retailer</w:t>
            </w:r>
          </w:p>
        </w:tc>
      </w:tr>
      <w:tr w:rsidR="00AB3678" w:rsidRPr="00AB3678" w14:paraId="08E9BA48" w14:textId="77777777" w:rsidTr="00AB3678">
        <w:trPr>
          <w:trHeight w:val="354"/>
        </w:trPr>
        <w:tc>
          <w:tcPr>
            <w:tcW w:w="5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A90D3"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Vrijgestelde buitenlandse touroperators</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3552D322"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€ 0,50 per boeking</w:t>
            </w:r>
          </w:p>
        </w:tc>
        <w:tc>
          <w:tcPr>
            <w:tcW w:w="4467" w:type="dxa"/>
            <w:tcBorders>
              <w:top w:val="nil"/>
              <w:left w:val="nil"/>
              <w:bottom w:val="single" w:sz="8" w:space="0" w:color="auto"/>
              <w:right w:val="single" w:sz="8" w:space="0" w:color="auto"/>
            </w:tcBorders>
            <w:tcMar>
              <w:top w:w="0" w:type="dxa"/>
              <w:left w:w="108" w:type="dxa"/>
              <w:bottom w:w="0" w:type="dxa"/>
              <w:right w:w="108" w:type="dxa"/>
            </w:tcMar>
            <w:hideMark/>
          </w:tcPr>
          <w:p w14:paraId="457A8915" w14:textId="77777777" w:rsidR="00AB3678" w:rsidRPr="00AB3678" w:rsidRDefault="00AB3678">
            <w:pPr>
              <w:spacing w:after="0" w:line="240" w:lineRule="auto"/>
              <w:rPr>
                <w:rFonts w:ascii="Verdana" w:hAnsi="Verdana"/>
                <w:sz w:val="20"/>
                <w:szCs w:val="20"/>
              </w:rPr>
            </w:pPr>
            <w:r w:rsidRPr="00AB3678">
              <w:rPr>
                <w:rFonts w:ascii="Verdana" w:hAnsi="Verdana"/>
                <w:sz w:val="20"/>
                <w:szCs w:val="20"/>
              </w:rPr>
              <w:t>Retailer</w:t>
            </w:r>
          </w:p>
        </w:tc>
      </w:tr>
    </w:tbl>
    <w:p w14:paraId="099C12DC" w14:textId="77777777" w:rsidR="00AB3678" w:rsidRPr="00AB3678" w:rsidRDefault="00AB3678" w:rsidP="00AB3678">
      <w:pPr>
        <w:spacing w:line="260" w:lineRule="exact"/>
        <w:rPr>
          <w:rFonts w:ascii="Verdana" w:hAnsi="Verdana"/>
          <w:sz w:val="20"/>
          <w:szCs w:val="20"/>
        </w:rPr>
      </w:pPr>
    </w:p>
    <w:p w14:paraId="438C25F6" w14:textId="77777777" w:rsidR="00AB3678" w:rsidRPr="00AB3678" w:rsidRDefault="00AB3678" w:rsidP="00AB3678">
      <w:pPr>
        <w:spacing w:line="260" w:lineRule="exact"/>
        <w:rPr>
          <w:rFonts w:ascii="Verdana" w:hAnsi="Verdana"/>
          <w:sz w:val="20"/>
          <w:szCs w:val="20"/>
        </w:rPr>
      </w:pPr>
      <w:r w:rsidRPr="00AB3678">
        <w:rPr>
          <w:rFonts w:ascii="Verdana" w:hAnsi="Verdana"/>
          <w:sz w:val="20"/>
          <w:szCs w:val="20"/>
        </w:rPr>
        <w:t xml:space="preserve">SGRZ brengt geen deelnemersbijdrage in rekening. De kosten van SGRZ en de opbouw van het fondsvermogen worden uit bijdragen van opdrachtgevers en gebruikers van de </w:t>
      </w:r>
      <w:proofErr w:type="spellStart"/>
      <w:r w:rsidRPr="00AB3678">
        <w:rPr>
          <w:rFonts w:ascii="Verdana" w:hAnsi="Verdana"/>
          <w:sz w:val="20"/>
          <w:szCs w:val="20"/>
        </w:rPr>
        <w:t>retaildekking</w:t>
      </w:r>
      <w:proofErr w:type="spellEnd"/>
      <w:r w:rsidRPr="00AB3678">
        <w:rPr>
          <w:rFonts w:ascii="Verdana" w:hAnsi="Verdana"/>
          <w:sz w:val="20"/>
          <w:szCs w:val="20"/>
        </w:rPr>
        <w:t xml:space="preserve"> betaald.</w:t>
      </w:r>
    </w:p>
    <w:p w14:paraId="7299365D" w14:textId="77777777" w:rsidR="00AB3678" w:rsidRPr="00AB3678" w:rsidRDefault="00AB3678" w:rsidP="00AB3678">
      <w:pPr>
        <w:spacing w:line="260" w:lineRule="exact"/>
        <w:rPr>
          <w:rFonts w:ascii="Verdana" w:hAnsi="Verdana"/>
          <w:sz w:val="20"/>
          <w:szCs w:val="20"/>
        </w:rPr>
      </w:pPr>
      <w:r w:rsidRPr="00AB3678">
        <w:rPr>
          <w:rFonts w:ascii="Verdana" w:hAnsi="Verdana"/>
          <w:sz w:val="20"/>
          <w:szCs w:val="20"/>
        </w:rPr>
        <w:t xml:space="preserve">In een eerdere nieuwsbrief hebben wij aangekondigd dat er vanaf 2024 veranderingen gaan plaatsvinden in de manier waarop bij SGRZ aangesloten reisondernemingen of retailers die gebruikmaken van de </w:t>
      </w:r>
      <w:proofErr w:type="spellStart"/>
      <w:r w:rsidRPr="00AB3678">
        <w:rPr>
          <w:rFonts w:ascii="Verdana" w:hAnsi="Verdana"/>
          <w:sz w:val="20"/>
          <w:szCs w:val="20"/>
        </w:rPr>
        <w:t>retaildekking</w:t>
      </w:r>
      <w:proofErr w:type="spellEnd"/>
      <w:r w:rsidRPr="00AB3678">
        <w:rPr>
          <w:rFonts w:ascii="Verdana" w:hAnsi="Verdana"/>
          <w:sz w:val="20"/>
          <w:szCs w:val="20"/>
        </w:rPr>
        <w:t xml:space="preserve"> (gebruikers) bovenstaande bijdragen in de vorm van afdrachten moeten doen. Deze veranderingen gaan ervoor zorgen dat de lasten van administratieve taken worden verminderd en daarmee ook het gehele proces efficiënter wordt.  </w:t>
      </w:r>
    </w:p>
    <w:p w14:paraId="7AC7927B" w14:textId="77777777" w:rsidR="00AB3678" w:rsidRPr="00AB3678" w:rsidRDefault="00AB3678" w:rsidP="00AB3678">
      <w:pPr>
        <w:spacing w:line="260" w:lineRule="exact"/>
        <w:rPr>
          <w:rFonts w:ascii="Verdana" w:hAnsi="Verdana"/>
          <w:sz w:val="20"/>
          <w:szCs w:val="20"/>
        </w:rPr>
      </w:pPr>
      <w:r w:rsidRPr="00AB3678">
        <w:rPr>
          <w:rFonts w:ascii="Verdana" w:hAnsi="Verdana"/>
          <w:b/>
          <w:bCs/>
          <w:sz w:val="20"/>
          <w:szCs w:val="20"/>
        </w:rPr>
        <w:t>Huidige situatie</w:t>
      </w:r>
      <w:r w:rsidRPr="00AB3678">
        <w:rPr>
          <w:rFonts w:ascii="Verdana" w:hAnsi="Verdana"/>
          <w:sz w:val="20"/>
          <w:szCs w:val="20"/>
        </w:rPr>
        <w:br/>
        <w:t>Op dit moment zijn aangesloten deelnemers en gebruikers verplicht om na afloop van elk kwartaal een opgave te verstrekken van het aantal boekingen voor SGRZ-garantie, SGRZ Retaildekking en/of verkoop buitenlandse aanbieders. Vervolgens werden op basis van deze gegevens kwartaalafdrachten gedaan. Deze procedure wordt als tijdrovend en niet praktisch ervaren.</w:t>
      </w:r>
    </w:p>
    <w:p w14:paraId="554B6CE5" w14:textId="77777777" w:rsidR="00AB3678" w:rsidRPr="00AB3678" w:rsidRDefault="00AB3678" w:rsidP="00AB3678">
      <w:pPr>
        <w:spacing w:line="260" w:lineRule="exact"/>
        <w:rPr>
          <w:rFonts w:ascii="Verdana" w:hAnsi="Verdana"/>
          <w:b/>
          <w:bCs/>
          <w:sz w:val="20"/>
          <w:szCs w:val="20"/>
        </w:rPr>
      </w:pPr>
      <w:r w:rsidRPr="00AB3678">
        <w:rPr>
          <w:rFonts w:ascii="Verdana" w:hAnsi="Verdana"/>
          <w:b/>
          <w:bCs/>
          <w:sz w:val="20"/>
          <w:szCs w:val="20"/>
        </w:rPr>
        <w:t>Verandering vanaf 1 januari 2024</w:t>
      </w:r>
      <w:r w:rsidRPr="00AB3678">
        <w:rPr>
          <w:rFonts w:ascii="Verdana" w:hAnsi="Verdana"/>
          <w:sz w:val="20"/>
          <w:szCs w:val="20"/>
        </w:rPr>
        <w:br/>
        <w:t>Vanaf 1 januari 2024 hoeven deelnemers en gebruikers niet langer kwartaalopgaven in te dienen en kwartaalafdrachten te doen. In plaats daarvan wordt een voorschotbedrag geïnd door middel van een automatische incasso, gebaseerd op een voorlopige inschatting, conform de systematiek van SGR en Calamiteitenfonds. Dit nieuwe proces stelt deelnemers en gebruikers in staat om hun financiële verplichtingen aan SGRZ gelijkmatig te verspreiden over het jaar. Dit zorgt er tevens voor dat administratieve lasten verminderd worden.</w:t>
      </w:r>
    </w:p>
    <w:p w14:paraId="499D82E7" w14:textId="77777777" w:rsidR="00AB3678" w:rsidRPr="00AB3678" w:rsidRDefault="00AB3678" w:rsidP="00AB3678">
      <w:pPr>
        <w:spacing w:line="260" w:lineRule="exact"/>
        <w:rPr>
          <w:rFonts w:ascii="Verdana" w:hAnsi="Verdana"/>
          <w:sz w:val="20"/>
          <w:szCs w:val="20"/>
        </w:rPr>
      </w:pPr>
      <w:r w:rsidRPr="00AB3678">
        <w:rPr>
          <w:rFonts w:ascii="Verdana" w:hAnsi="Verdana"/>
          <w:sz w:val="20"/>
          <w:szCs w:val="20"/>
        </w:rPr>
        <w:t xml:space="preserve">Met de jaarlijkse rapportage aan SGRZ dient u een jaaropgaaf met aantallen personen/boekingen in, wederom net zoals bij SGR en het Calamiteitenfonds. De </w:t>
      </w:r>
      <w:r w:rsidRPr="00AB3678">
        <w:rPr>
          <w:rFonts w:ascii="Verdana" w:hAnsi="Verdana"/>
          <w:sz w:val="20"/>
          <w:szCs w:val="20"/>
        </w:rPr>
        <w:lastRenderedPageBreak/>
        <w:t>jaaropgaaf zal worden gebruikt om te berekenen wat er moet worden afgedragen en wat er al is betaald aan voorschotten. Eventuele overschotten of tekorten zullen dan worden verrekend of in rekening worden gebracht.</w:t>
      </w:r>
    </w:p>
    <w:p w14:paraId="3AB3BF78" w14:textId="77777777" w:rsidR="00AB3678" w:rsidRPr="00AB3678" w:rsidRDefault="00AB3678" w:rsidP="00AB3678">
      <w:pPr>
        <w:spacing w:line="260" w:lineRule="exact"/>
        <w:rPr>
          <w:rFonts w:ascii="Verdana" w:hAnsi="Verdana"/>
          <w:sz w:val="20"/>
          <w:szCs w:val="20"/>
        </w:rPr>
      </w:pPr>
      <w:r w:rsidRPr="00AB3678">
        <w:rPr>
          <w:rFonts w:ascii="Verdana" w:hAnsi="Verdana"/>
          <w:b/>
          <w:bCs/>
          <w:sz w:val="20"/>
          <w:szCs w:val="20"/>
        </w:rPr>
        <w:t>Communicatie m.b.t. nieuwe manier van afdragen</w:t>
      </w:r>
      <w:r w:rsidRPr="00AB3678">
        <w:rPr>
          <w:rFonts w:ascii="Verdana" w:hAnsi="Verdana"/>
          <w:sz w:val="20"/>
          <w:szCs w:val="20"/>
        </w:rPr>
        <w:br/>
        <w:t xml:space="preserve">We houden deelnemers en gebruikers graag op de hoogte van alle ontwikkelingen m.b.t. het nieuwe </w:t>
      </w:r>
      <w:proofErr w:type="spellStart"/>
      <w:r w:rsidRPr="00AB3678">
        <w:rPr>
          <w:rFonts w:ascii="Verdana" w:hAnsi="Verdana"/>
          <w:sz w:val="20"/>
          <w:szCs w:val="20"/>
        </w:rPr>
        <w:t>afdrachtmodel</w:t>
      </w:r>
      <w:proofErr w:type="spellEnd"/>
      <w:r w:rsidRPr="00AB3678">
        <w:rPr>
          <w:rFonts w:ascii="Verdana" w:hAnsi="Verdana"/>
          <w:sz w:val="20"/>
          <w:szCs w:val="20"/>
        </w:rPr>
        <w:t xml:space="preserve">. Voor vragen hierover kunt u contact opnemen met </w:t>
      </w:r>
      <w:hyperlink r:id="rId4" w:history="1">
        <w:r w:rsidRPr="00AB3678">
          <w:rPr>
            <w:rStyle w:val="Hyperlink"/>
            <w:rFonts w:ascii="Verdana" w:hAnsi="Verdana"/>
            <w:sz w:val="20"/>
            <w:szCs w:val="20"/>
          </w:rPr>
          <w:t>info@sgrz.nl</w:t>
        </w:r>
      </w:hyperlink>
      <w:r w:rsidRPr="00AB3678">
        <w:rPr>
          <w:rFonts w:ascii="Verdana" w:hAnsi="Verdana"/>
          <w:sz w:val="20"/>
          <w:szCs w:val="20"/>
        </w:rPr>
        <w:t>.</w:t>
      </w:r>
    </w:p>
    <w:tbl>
      <w:tblPr>
        <w:tblW w:w="6750" w:type="dxa"/>
        <w:tblCellMar>
          <w:left w:w="0" w:type="dxa"/>
          <w:right w:w="0" w:type="dxa"/>
        </w:tblCellMar>
        <w:tblLook w:val="04A0" w:firstRow="1" w:lastRow="0" w:firstColumn="1" w:lastColumn="0" w:noHBand="0" w:noVBand="1"/>
      </w:tblPr>
      <w:tblGrid>
        <w:gridCol w:w="4050"/>
        <w:gridCol w:w="2700"/>
      </w:tblGrid>
      <w:tr w:rsidR="00AB3678" w:rsidRPr="00AB3678" w14:paraId="553B0A2F" w14:textId="77777777" w:rsidTr="00AB3678">
        <w:tc>
          <w:tcPr>
            <w:tcW w:w="0" w:type="auto"/>
            <w:gridSpan w:val="2"/>
            <w:vAlign w:val="center"/>
            <w:hideMark/>
          </w:tcPr>
          <w:p w14:paraId="1CC5397C" w14:textId="77777777" w:rsidR="00AB3678" w:rsidRPr="00AB3678" w:rsidRDefault="00AB3678">
            <w:pPr>
              <w:rPr>
                <w:rFonts w:ascii="Verdana" w:hAnsi="Verdana"/>
                <w:color w:val="000000"/>
                <w:sz w:val="20"/>
                <w:szCs w:val="20"/>
                <w:lang w:eastAsia="nl-NL"/>
                <w14:ligatures w14:val="none"/>
              </w:rPr>
            </w:pPr>
            <w:r w:rsidRPr="00AB3678">
              <w:rPr>
                <w:rFonts w:ascii="Verdana" w:hAnsi="Verdana"/>
                <w:color w:val="000000"/>
                <w:sz w:val="20"/>
                <w:szCs w:val="20"/>
                <w:lang w:eastAsia="nl-NL"/>
                <w14:ligatures w14:val="none"/>
              </w:rPr>
              <w:t>Met vriendelijke groet,</w:t>
            </w:r>
            <w:r w:rsidRPr="00AB3678">
              <w:rPr>
                <w:rFonts w:ascii="Verdana" w:hAnsi="Verdana"/>
                <w:color w:val="000000"/>
                <w:sz w:val="20"/>
                <w:szCs w:val="20"/>
                <w:lang w:eastAsia="nl-NL"/>
                <w14:ligatures w14:val="none"/>
              </w:rPr>
              <w:br/>
            </w:r>
            <w:r w:rsidRPr="00AB3678">
              <w:rPr>
                <w:rFonts w:ascii="Verdana" w:hAnsi="Verdana"/>
                <w:color w:val="000000"/>
                <w:sz w:val="20"/>
                <w:szCs w:val="20"/>
                <w:lang w:eastAsia="nl-NL"/>
                <w14:ligatures w14:val="none"/>
              </w:rPr>
              <w:br/>
            </w:r>
            <w:r w:rsidRPr="00AB3678">
              <w:rPr>
                <w:rFonts w:ascii="Verdana" w:hAnsi="Verdana"/>
                <w:color w:val="000000"/>
                <w:sz w:val="20"/>
                <w:szCs w:val="20"/>
                <w:lang w:eastAsia="nl-NL"/>
                <w14:ligatures w14:val="none"/>
              </w:rPr>
              <w:br/>
            </w:r>
            <w:r w:rsidRPr="00AB3678">
              <w:rPr>
                <w:rFonts w:ascii="Verdana" w:hAnsi="Verdana"/>
                <w:b/>
                <w:bCs/>
                <w:color w:val="000000"/>
                <w:sz w:val="20"/>
                <w:szCs w:val="20"/>
                <w:lang w:eastAsia="nl-NL"/>
                <w14:ligatures w14:val="none"/>
              </w:rPr>
              <w:t>Erik Jan Reuver</w:t>
            </w:r>
            <w:r w:rsidRPr="00AB3678">
              <w:rPr>
                <w:rFonts w:ascii="Verdana" w:hAnsi="Verdana"/>
                <w:color w:val="000000"/>
                <w:sz w:val="20"/>
                <w:szCs w:val="20"/>
                <w:lang w:eastAsia="nl-NL"/>
                <w14:ligatures w14:val="none"/>
              </w:rPr>
              <w:br/>
              <w:t>directeur</w:t>
            </w:r>
          </w:p>
        </w:tc>
      </w:tr>
      <w:tr w:rsidR="00AB3678" w:rsidRPr="00AB3678" w14:paraId="5FC7709B" w14:textId="77777777" w:rsidTr="00AB3678">
        <w:tc>
          <w:tcPr>
            <w:tcW w:w="0" w:type="auto"/>
            <w:gridSpan w:val="2"/>
            <w:vAlign w:val="center"/>
            <w:hideMark/>
          </w:tcPr>
          <w:p w14:paraId="5502997F" w14:textId="77777777" w:rsidR="00AB3678" w:rsidRPr="00AB3678" w:rsidRDefault="00AB3678">
            <w:pPr>
              <w:rPr>
                <w:rFonts w:ascii="Verdana" w:hAnsi="Verdana"/>
                <w:color w:val="000000"/>
                <w:sz w:val="20"/>
                <w:szCs w:val="20"/>
                <w:lang w:eastAsia="nl-NL"/>
                <w14:ligatures w14:val="none"/>
              </w:rPr>
            </w:pPr>
            <w:r w:rsidRPr="00AB3678">
              <w:rPr>
                <w:rFonts w:ascii="Verdana" w:hAnsi="Verdana"/>
                <w:color w:val="000000"/>
                <w:sz w:val="20"/>
                <w:szCs w:val="20"/>
                <w:lang w:eastAsia="nl-NL"/>
                <w14:ligatures w14:val="none"/>
              </w:rPr>
              <w:t> </w:t>
            </w:r>
          </w:p>
        </w:tc>
      </w:tr>
      <w:tr w:rsidR="00AB3678" w:rsidRPr="00AB3678" w14:paraId="556C6075" w14:textId="77777777" w:rsidTr="00AB3678">
        <w:tc>
          <w:tcPr>
            <w:tcW w:w="0" w:type="auto"/>
            <w:gridSpan w:val="2"/>
            <w:vAlign w:val="center"/>
            <w:hideMark/>
          </w:tcPr>
          <w:p w14:paraId="0137D17D" w14:textId="77777777" w:rsidR="00AB3678" w:rsidRPr="00AB3678" w:rsidRDefault="00AB3678">
            <w:pPr>
              <w:rPr>
                <w:rFonts w:ascii="Verdana" w:hAnsi="Verdana"/>
                <w:color w:val="000000"/>
                <w:sz w:val="20"/>
                <w:szCs w:val="20"/>
                <w:lang w:eastAsia="nl-NL"/>
                <w14:ligatures w14:val="none"/>
              </w:rPr>
            </w:pPr>
          </w:p>
        </w:tc>
      </w:tr>
      <w:tr w:rsidR="00AB3678" w:rsidRPr="00AB3678" w14:paraId="10E3B92D" w14:textId="77777777" w:rsidTr="00AB3678">
        <w:tc>
          <w:tcPr>
            <w:tcW w:w="4050" w:type="dxa"/>
            <w:vAlign w:val="center"/>
            <w:hideMark/>
          </w:tcPr>
          <w:p w14:paraId="39BD3D40" w14:textId="61D6A3CB" w:rsidR="00AB3678" w:rsidRPr="00AB3678" w:rsidRDefault="00AB3678">
            <w:pPr>
              <w:rPr>
                <w:rFonts w:ascii="Verdana" w:hAnsi="Verdana"/>
                <w:color w:val="000000"/>
                <w:sz w:val="20"/>
                <w:szCs w:val="20"/>
                <w:lang w:eastAsia="nl-NL"/>
                <w14:ligatures w14:val="none"/>
              </w:rPr>
            </w:pPr>
            <w:r w:rsidRPr="00AB3678">
              <w:rPr>
                <w:rFonts w:ascii="Verdana" w:hAnsi="Verdana"/>
                <w:noProof/>
                <w:color w:val="000000"/>
                <w:sz w:val="20"/>
                <w:szCs w:val="20"/>
                <w:lang w:eastAsia="nl-NL"/>
              </w:rPr>
              <w:drawing>
                <wp:inline distT="0" distB="0" distL="0" distR="0" wp14:anchorId="0BC772DA" wp14:editId="36C5EB0A">
                  <wp:extent cx="2407920" cy="800100"/>
                  <wp:effectExtent l="0" t="0" r="11430" b="0"/>
                  <wp:docPr id="1636646593" name="Afbeelding 1"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Lettertype, Graphics, logo, symbool&#10;&#10;Automatisch gegenereerde beschrijvi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7920" cy="800100"/>
                          </a:xfrm>
                          <a:prstGeom prst="rect">
                            <a:avLst/>
                          </a:prstGeom>
                          <a:noFill/>
                          <a:ln>
                            <a:noFill/>
                          </a:ln>
                        </pic:spPr>
                      </pic:pic>
                    </a:graphicData>
                  </a:graphic>
                </wp:inline>
              </w:drawing>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270"/>
              <w:gridCol w:w="1483"/>
            </w:tblGrid>
            <w:tr w:rsidR="00AB3678" w:rsidRPr="00AB3678" w14:paraId="290C42CE" w14:textId="77777777">
              <w:tc>
                <w:tcPr>
                  <w:tcW w:w="270" w:type="dxa"/>
                  <w:vAlign w:val="center"/>
                  <w:hideMark/>
                </w:tcPr>
                <w:p w14:paraId="2BE38FE6" w14:textId="77777777" w:rsidR="00AB3678" w:rsidRPr="00AB3678" w:rsidRDefault="00AB3678">
                  <w:pPr>
                    <w:rPr>
                      <w:rFonts w:ascii="Verdana" w:hAnsi="Verdana"/>
                      <w:color w:val="ED1651"/>
                      <w:sz w:val="20"/>
                      <w:szCs w:val="20"/>
                      <w:lang w:eastAsia="nl-NL"/>
                      <w14:ligatures w14:val="none"/>
                    </w:rPr>
                  </w:pPr>
                  <w:r w:rsidRPr="00AB3678">
                    <w:rPr>
                      <w:rFonts w:ascii="Verdana" w:hAnsi="Verdana"/>
                      <w:b/>
                      <w:bCs/>
                      <w:color w:val="ED1651"/>
                      <w:sz w:val="20"/>
                      <w:szCs w:val="20"/>
                      <w:lang w:eastAsia="nl-NL"/>
                      <w14:ligatures w14:val="none"/>
                    </w:rPr>
                    <w:t>T</w:t>
                  </w:r>
                  <w:r w:rsidRPr="00AB3678">
                    <w:rPr>
                      <w:rFonts w:ascii="Verdana" w:hAnsi="Verdana"/>
                      <w:color w:val="ED1651"/>
                      <w:sz w:val="20"/>
                      <w:szCs w:val="20"/>
                      <w:lang w:eastAsia="nl-NL"/>
                      <w14:ligatures w14:val="none"/>
                    </w:rPr>
                    <w:t xml:space="preserve"> </w:t>
                  </w:r>
                </w:p>
              </w:tc>
              <w:tc>
                <w:tcPr>
                  <w:tcW w:w="0" w:type="auto"/>
                  <w:vAlign w:val="center"/>
                  <w:hideMark/>
                </w:tcPr>
                <w:p w14:paraId="5414479D" w14:textId="77777777" w:rsidR="00AB3678" w:rsidRPr="00AB3678" w:rsidRDefault="00AB3678">
                  <w:pPr>
                    <w:rPr>
                      <w:rFonts w:ascii="Verdana" w:hAnsi="Verdana"/>
                      <w:color w:val="000000"/>
                      <w:sz w:val="20"/>
                      <w:szCs w:val="20"/>
                      <w:lang w:eastAsia="nl-NL"/>
                      <w14:ligatures w14:val="none"/>
                    </w:rPr>
                  </w:pPr>
                  <w:r w:rsidRPr="00AB3678">
                    <w:rPr>
                      <w:rFonts w:ascii="Verdana" w:hAnsi="Verdana"/>
                      <w:color w:val="000000"/>
                      <w:sz w:val="20"/>
                      <w:szCs w:val="20"/>
                      <w:lang w:eastAsia="nl-NL"/>
                      <w14:ligatures w14:val="none"/>
                    </w:rPr>
                    <w:t>010 789 13 33</w:t>
                  </w:r>
                </w:p>
              </w:tc>
            </w:tr>
            <w:tr w:rsidR="00AB3678" w:rsidRPr="00AB3678" w14:paraId="4088F506" w14:textId="77777777">
              <w:tc>
                <w:tcPr>
                  <w:tcW w:w="270" w:type="dxa"/>
                  <w:vAlign w:val="center"/>
                  <w:hideMark/>
                </w:tcPr>
                <w:p w14:paraId="566B9A79" w14:textId="77777777" w:rsidR="00AB3678" w:rsidRPr="00AB3678" w:rsidRDefault="00AB3678">
                  <w:pPr>
                    <w:rPr>
                      <w:rFonts w:ascii="Verdana" w:hAnsi="Verdana"/>
                      <w:color w:val="ED1651"/>
                      <w:sz w:val="20"/>
                      <w:szCs w:val="20"/>
                      <w:lang w:eastAsia="nl-NL"/>
                      <w14:ligatures w14:val="none"/>
                    </w:rPr>
                  </w:pPr>
                  <w:r w:rsidRPr="00AB3678">
                    <w:rPr>
                      <w:rFonts w:ascii="Verdana" w:hAnsi="Verdana"/>
                      <w:b/>
                      <w:bCs/>
                      <w:color w:val="ED1651"/>
                      <w:sz w:val="20"/>
                      <w:szCs w:val="20"/>
                      <w:lang w:eastAsia="nl-NL"/>
                      <w14:ligatures w14:val="none"/>
                    </w:rPr>
                    <w:t>E</w:t>
                  </w:r>
                  <w:r w:rsidRPr="00AB3678">
                    <w:rPr>
                      <w:rFonts w:ascii="Verdana" w:hAnsi="Verdana"/>
                      <w:color w:val="ED1651"/>
                      <w:sz w:val="20"/>
                      <w:szCs w:val="20"/>
                      <w:lang w:eastAsia="nl-NL"/>
                      <w14:ligatures w14:val="none"/>
                    </w:rPr>
                    <w:t xml:space="preserve"> </w:t>
                  </w:r>
                </w:p>
              </w:tc>
              <w:tc>
                <w:tcPr>
                  <w:tcW w:w="0" w:type="auto"/>
                  <w:vAlign w:val="center"/>
                  <w:hideMark/>
                </w:tcPr>
                <w:p w14:paraId="7911F24A" w14:textId="77777777" w:rsidR="00AB3678" w:rsidRPr="00AB3678" w:rsidRDefault="00AB3678">
                  <w:pPr>
                    <w:rPr>
                      <w:rFonts w:ascii="Verdana" w:hAnsi="Verdana"/>
                      <w:color w:val="000000"/>
                      <w:sz w:val="20"/>
                      <w:szCs w:val="20"/>
                      <w:lang w:eastAsia="nl-NL"/>
                      <w14:ligatures w14:val="none"/>
                    </w:rPr>
                  </w:pPr>
                  <w:hyperlink r:id="rId7" w:history="1">
                    <w:r w:rsidRPr="00AB3678">
                      <w:rPr>
                        <w:rStyle w:val="Hyperlink"/>
                        <w:rFonts w:ascii="Verdana" w:hAnsi="Verdana"/>
                        <w:color w:val="005BAA"/>
                        <w:sz w:val="20"/>
                        <w:szCs w:val="20"/>
                        <w:lang w:eastAsia="nl-NL"/>
                        <w14:ligatures w14:val="none"/>
                      </w:rPr>
                      <w:t>info@sgrz.nl</w:t>
                    </w:r>
                  </w:hyperlink>
                  <w:r w:rsidRPr="00AB3678">
                    <w:rPr>
                      <w:rFonts w:ascii="Verdana" w:hAnsi="Verdana"/>
                      <w:color w:val="000000"/>
                      <w:sz w:val="20"/>
                      <w:szCs w:val="20"/>
                      <w:lang w:eastAsia="nl-NL"/>
                      <w14:ligatures w14:val="none"/>
                    </w:rPr>
                    <w:t xml:space="preserve"> </w:t>
                  </w:r>
                </w:p>
              </w:tc>
            </w:tr>
            <w:tr w:rsidR="00AB3678" w:rsidRPr="00AB3678" w14:paraId="5863D42A" w14:textId="77777777">
              <w:tc>
                <w:tcPr>
                  <w:tcW w:w="270" w:type="dxa"/>
                  <w:vAlign w:val="center"/>
                  <w:hideMark/>
                </w:tcPr>
                <w:p w14:paraId="612CAFA2" w14:textId="77777777" w:rsidR="00AB3678" w:rsidRPr="00AB3678" w:rsidRDefault="00AB3678">
                  <w:pPr>
                    <w:rPr>
                      <w:rFonts w:ascii="Verdana" w:hAnsi="Verdana"/>
                      <w:color w:val="ED1651"/>
                      <w:sz w:val="20"/>
                      <w:szCs w:val="20"/>
                      <w:lang w:eastAsia="nl-NL"/>
                      <w14:ligatures w14:val="none"/>
                    </w:rPr>
                  </w:pPr>
                  <w:r w:rsidRPr="00AB3678">
                    <w:rPr>
                      <w:rFonts w:ascii="Verdana" w:hAnsi="Verdana"/>
                      <w:b/>
                      <w:bCs/>
                      <w:color w:val="ED1651"/>
                      <w:sz w:val="20"/>
                      <w:szCs w:val="20"/>
                      <w:lang w:eastAsia="nl-NL"/>
                      <w14:ligatures w14:val="none"/>
                    </w:rPr>
                    <w:t>I</w:t>
                  </w:r>
                  <w:r w:rsidRPr="00AB3678">
                    <w:rPr>
                      <w:rFonts w:ascii="Verdana" w:hAnsi="Verdana"/>
                      <w:color w:val="ED1651"/>
                      <w:sz w:val="20"/>
                      <w:szCs w:val="20"/>
                      <w:lang w:eastAsia="nl-NL"/>
                      <w14:ligatures w14:val="none"/>
                    </w:rPr>
                    <w:t xml:space="preserve"> </w:t>
                  </w:r>
                </w:p>
              </w:tc>
              <w:tc>
                <w:tcPr>
                  <w:tcW w:w="0" w:type="auto"/>
                  <w:vAlign w:val="center"/>
                  <w:hideMark/>
                </w:tcPr>
                <w:p w14:paraId="0A5ACC7F" w14:textId="77777777" w:rsidR="00AB3678" w:rsidRPr="00AB3678" w:rsidRDefault="00AB3678">
                  <w:pPr>
                    <w:rPr>
                      <w:rFonts w:ascii="Verdana" w:hAnsi="Verdana"/>
                      <w:color w:val="000000"/>
                      <w:sz w:val="20"/>
                      <w:szCs w:val="20"/>
                      <w:lang w:eastAsia="nl-NL"/>
                      <w14:ligatures w14:val="none"/>
                    </w:rPr>
                  </w:pPr>
                  <w:hyperlink r:id="rId8" w:history="1">
                    <w:r w:rsidRPr="00AB3678">
                      <w:rPr>
                        <w:rStyle w:val="Hyperlink"/>
                        <w:rFonts w:ascii="Verdana" w:hAnsi="Verdana"/>
                        <w:color w:val="005BAA"/>
                        <w:sz w:val="20"/>
                        <w:szCs w:val="20"/>
                        <w:lang w:eastAsia="nl-NL"/>
                        <w14:ligatures w14:val="none"/>
                      </w:rPr>
                      <w:t>www.sgrz.nl</w:t>
                    </w:r>
                  </w:hyperlink>
                  <w:r w:rsidRPr="00AB3678">
                    <w:rPr>
                      <w:rFonts w:ascii="Verdana" w:hAnsi="Verdana"/>
                      <w:color w:val="000000"/>
                      <w:sz w:val="20"/>
                      <w:szCs w:val="20"/>
                      <w:lang w:eastAsia="nl-NL"/>
                      <w14:ligatures w14:val="none"/>
                    </w:rPr>
                    <w:t xml:space="preserve"> </w:t>
                  </w:r>
                </w:p>
              </w:tc>
            </w:tr>
          </w:tbl>
          <w:p w14:paraId="08CF39A9"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r>
      <w:tr w:rsidR="00AB3678" w:rsidRPr="00AB3678" w14:paraId="6B77D7A7" w14:textId="77777777" w:rsidTr="00AB3678">
        <w:tc>
          <w:tcPr>
            <w:tcW w:w="0" w:type="auto"/>
            <w:vAlign w:val="center"/>
            <w:hideMark/>
          </w:tcPr>
          <w:p w14:paraId="0B43B058"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c>
          <w:tcPr>
            <w:tcW w:w="0" w:type="auto"/>
            <w:vAlign w:val="center"/>
            <w:hideMark/>
          </w:tcPr>
          <w:p w14:paraId="3ED0CDE6"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r>
      <w:tr w:rsidR="00AB3678" w:rsidRPr="00AB3678" w14:paraId="53FBED37" w14:textId="77777777" w:rsidTr="00AB3678">
        <w:tc>
          <w:tcPr>
            <w:tcW w:w="0" w:type="auto"/>
            <w:vAlign w:val="center"/>
            <w:hideMark/>
          </w:tcPr>
          <w:p w14:paraId="6F991F78" w14:textId="77777777" w:rsidR="00AB3678" w:rsidRPr="00AB3678" w:rsidRDefault="00AB3678">
            <w:pPr>
              <w:rPr>
                <w:rFonts w:ascii="Verdana" w:hAnsi="Verdana"/>
                <w:color w:val="000000"/>
                <w:sz w:val="20"/>
                <w:szCs w:val="20"/>
                <w:lang w:eastAsia="nl-NL"/>
                <w14:ligatures w14:val="none"/>
              </w:rPr>
            </w:pPr>
            <w:r w:rsidRPr="00AB3678">
              <w:rPr>
                <w:rFonts w:ascii="Verdana" w:hAnsi="Verdana"/>
                <w:color w:val="000000"/>
                <w:sz w:val="20"/>
                <w:szCs w:val="20"/>
                <w:lang w:eastAsia="nl-NL"/>
                <w14:ligatures w14:val="none"/>
              </w:rPr>
              <w:t xml:space="preserve">Postbus 4040, 3006AA  ROTTERDAM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25"/>
              <w:gridCol w:w="525"/>
              <w:gridCol w:w="525"/>
              <w:gridCol w:w="525"/>
              <w:gridCol w:w="600"/>
            </w:tblGrid>
            <w:tr w:rsidR="00AB3678" w:rsidRPr="00AB3678" w14:paraId="36969C5B" w14:textId="77777777">
              <w:tc>
                <w:tcPr>
                  <w:tcW w:w="0" w:type="auto"/>
                  <w:vAlign w:val="center"/>
                  <w:hideMark/>
                </w:tcPr>
                <w:p w14:paraId="60593DE5" w14:textId="77777777" w:rsidR="00AB3678" w:rsidRPr="00AB3678" w:rsidRDefault="00AB3678">
                  <w:pPr>
                    <w:rPr>
                      <w:rFonts w:ascii="Verdana" w:hAnsi="Verdana"/>
                      <w:color w:val="000000"/>
                      <w:sz w:val="20"/>
                      <w:szCs w:val="20"/>
                      <w:lang w:eastAsia="nl-NL"/>
                      <w14:ligatures w14:val="none"/>
                    </w:rPr>
                  </w:pPr>
                </w:p>
              </w:tc>
              <w:tc>
                <w:tcPr>
                  <w:tcW w:w="0" w:type="auto"/>
                  <w:vAlign w:val="center"/>
                  <w:hideMark/>
                </w:tcPr>
                <w:p w14:paraId="5AA86B68"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c>
                <w:tcPr>
                  <w:tcW w:w="0" w:type="auto"/>
                  <w:vAlign w:val="center"/>
                  <w:hideMark/>
                </w:tcPr>
                <w:p w14:paraId="0A2D603B"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c>
                <w:tcPr>
                  <w:tcW w:w="0" w:type="auto"/>
                  <w:vAlign w:val="center"/>
                  <w:hideMark/>
                </w:tcPr>
                <w:p w14:paraId="09D17D0C"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c>
                <w:tcPr>
                  <w:tcW w:w="600" w:type="dxa"/>
                  <w:vAlign w:val="center"/>
                  <w:hideMark/>
                </w:tcPr>
                <w:p w14:paraId="44B6DF05"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r>
          </w:tbl>
          <w:p w14:paraId="4AF92B38" w14:textId="77777777" w:rsidR="00AB3678" w:rsidRPr="00AB3678" w:rsidRDefault="00AB3678">
            <w:pPr>
              <w:spacing w:after="0" w:line="240" w:lineRule="auto"/>
              <w:rPr>
                <w:rFonts w:ascii="Verdana" w:eastAsia="Times New Roman" w:hAnsi="Verdana" w:cs="Times New Roman"/>
                <w:sz w:val="20"/>
                <w:szCs w:val="20"/>
                <w:lang w:eastAsia="nl-NL"/>
                <w14:ligatures w14:val="none"/>
              </w:rPr>
            </w:pPr>
          </w:p>
        </w:tc>
      </w:tr>
    </w:tbl>
    <w:p w14:paraId="3AD17DEB" w14:textId="77777777" w:rsidR="00707B66" w:rsidRDefault="00707B66"/>
    <w:sectPr w:rsidR="0070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78"/>
    <w:rsid w:val="00567BFA"/>
    <w:rsid w:val="00707B66"/>
    <w:rsid w:val="00AB3678"/>
    <w:rsid w:val="00B82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DBF0"/>
  <w15:chartTrackingRefBased/>
  <w15:docId w15:val="{076D75A5-514B-44B1-A703-9BA077B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678"/>
    <w:pPr>
      <w:spacing w:line="252"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36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rz.nl" TargetMode="External"/><Relationship Id="rId3" Type="http://schemas.openxmlformats.org/officeDocument/2006/relationships/webSettings" Target="webSettings.xml"/><Relationship Id="rId7" Type="http://schemas.openxmlformats.org/officeDocument/2006/relationships/hyperlink" Target="mailto:info@sgrz.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A1895.569DD9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info@sgrz.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Senturk | SGR SGRZ Calamiteitenfonds</dc:creator>
  <cp:keywords/>
  <dc:description/>
  <cp:lastModifiedBy>Hilal Senturk | SGR SGRZ Calamiteitenfonds</cp:lastModifiedBy>
  <cp:revision>1</cp:revision>
  <dcterms:created xsi:type="dcterms:W3CDTF">2023-11-16T13:18:00Z</dcterms:created>
  <dcterms:modified xsi:type="dcterms:W3CDTF">2023-11-16T13:20:00Z</dcterms:modified>
</cp:coreProperties>
</file>